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5457" w14:textId="77777777" w:rsidR="000070A0" w:rsidRPr="008252C9" w:rsidRDefault="000070A0" w:rsidP="000070A0">
      <w:pPr>
        <w:widowControl w:val="0"/>
        <w:spacing w:after="0" w:line="240" w:lineRule="auto"/>
        <w:ind w:right="-575"/>
        <w:jc w:val="both"/>
        <w:rPr>
          <w:rFonts w:ascii="Century Gothic" w:eastAsia="Arial Unicode MS" w:hAnsi="Century Gothic" w:cs="Arial"/>
          <w:snapToGrid w:val="0"/>
          <w:sz w:val="28"/>
          <w:szCs w:val="28"/>
          <w:lang w:eastAsia="es-ES"/>
        </w:rPr>
      </w:pPr>
      <w:r w:rsidRPr="008252C9">
        <w:rPr>
          <w:rFonts w:ascii="Century Gothic" w:eastAsia="Arial Unicode MS" w:hAnsi="Century Gothic" w:cs="Arial"/>
          <w:noProof/>
          <w:sz w:val="28"/>
          <w:szCs w:val="28"/>
        </w:rPr>
        <w:drawing>
          <wp:inline distT="0" distB="0" distL="0" distR="0" wp14:anchorId="243C2FA3" wp14:editId="33FC5915">
            <wp:extent cx="1475105" cy="652145"/>
            <wp:effectExtent l="0" t="0" r="0" b="0"/>
            <wp:docPr id="2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DF64D3" w14:textId="77777777" w:rsidR="000070A0" w:rsidRPr="008252C9" w:rsidRDefault="000070A0" w:rsidP="000070A0">
      <w:pPr>
        <w:widowControl w:val="0"/>
        <w:spacing w:after="0" w:line="240" w:lineRule="auto"/>
        <w:ind w:right="-575"/>
        <w:jc w:val="both"/>
        <w:rPr>
          <w:rFonts w:ascii="Century Gothic" w:eastAsia="Arial Unicode MS" w:hAnsi="Century Gothic" w:cs="Arial"/>
          <w:snapToGrid w:val="0"/>
          <w:sz w:val="28"/>
          <w:szCs w:val="28"/>
          <w:vertAlign w:val="superscript"/>
          <w:lang w:eastAsia="es-ES"/>
        </w:rPr>
      </w:pPr>
    </w:p>
    <w:p w14:paraId="622BB69C" w14:textId="77777777" w:rsidR="000070A0" w:rsidRPr="008252C9" w:rsidRDefault="000070A0" w:rsidP="000070A0">
      <w:pPr>
        <w:widowControl w:val="0"/>
        <w:spacing w:after="0" w:line="240" w:lineRule="auto"/>
        <w:ind w:right="-461"/>
        <w:jc w:val="both"/>
        <w:rPr>
          <w:rFonts w:ascii="Century Gothic" w:eastAsia="Arial Unicode MS" w:hAnsi="Century Gothic" w:cs="Arial"/>
          <w:snapToGrid w:val="0"/>
          <w:sz w:val="28"/>
          <w:szCs w:val="28"/>
          <w:lang w:eastAsia="es-ES"/>
        </w:rPr>
      </w:pPr>
    </w:p>
    <w:p w14:paraId="42097535" w14:textId="77777777" w:rsidR="000070A0" w:rsidRPr="008252C9" w:rsidRDefault="000070A0" w:rsidP="000070A0">
      <w:pPr>
        <w:widowControl w:val="0"/>
        <w:spacing w:after="0" w:line="240" w:lineRule="auto"/>
        <w:ind w:right="-461"/>
        <w:jc w:val="both"/>
        <w:rPr>
          <w:rFonts w:ascii="Century Gothic" w:eastAsia="Arial Unicode MS" w:hAnsi="Century Gothic" w:cs="Arial"/>
          <w:snapToGrid w:val="0"/>
          <w:sz w:val="28"/>
          <w:szCs w:val="28"/>
          <w:lang w:eastAsia="es-ES"/>
        </w:rPr>
      </w:pPr>
    </w:p>
    <w:p w14:paraId="7FE259BA" w14:textId="34CFE24F" w:rsidR="000070A0" w:rsidRPr="008252C9" w:rsidRDefault="000070A0" w:rsidP="000070A0">
      <w:pPr>
        <w:widowControl w:val="0"/>
        <w:spacing w:after="0" w:line="240" w:lineRule="auto"/>
        <w:ind w:right="-461"/>
        <w:jc w:val="both"/>
        <w:rPr>
          <w:rFonts w:ascii="Century Gothic" w:eastAsia="Arial Unicode MS" w:hAnsi="Century Gothic" w:cs="Arial"/>
          <w:snapToGrid w:val="0"/>
          <w:sz w:val="28"/>
          <w:szCs w:val="28"/>
          <w:lang w:eastAsia="es-ES"/>
        </w:rPr>
      </w:pPr>
      <w:r w:rsidRPr="008252C9">
        <w:rPr>
          <w:rFonts w:ascii="Century Gothic" w:eastAsia="Arial Unicode MS" w:hAnsi="Century Gothic" w:cs="Arial"/>
          <w:snapToGrid w:val="0"/>
          <w:sz w:val="28"/>
          <w:szCs w:val="28"/>
          <w:lang w:eastAsia="es-ES"/>
        </w:rPr>
        <w:t>Con fundamento en lo establecido por los artículos 20 y 27, fracción III, de la Ley Orgánica del Tribunal de Justicia Administrativa del Estado de Guanajuato, en relación con los artículos 8 y 21 —fracción II— del Reglamento Interior</w:t>
      </w:r>
      <w:r w:rsidRPr="008252C9">
        <w:rPr>
          <w:rFonts w:ascii="Century Gothic" w:hAnsi="Century Gothic" w:cs="Arial"/>
          <w:sz w:val="28"/>
          <w:szCs w:val="28"/>
        </w:rPr>
        <w:t xml:space="preserve"> </w:t>
      </w:r>
      <w:r w:rsidRPr="008252C9">
        <w:rPr>
          <w:rFonts w:ascii="Century Gothic" w:eastAsia="Arial Unicode MS" w:hAnsi="Century Gothic" w:cs="Arial"/>
          <w:snapToGrid w:val="0"/>
          <w:sz w:val="28"/>
          <w:szCs w:val="28"/>
          <w:lang w:eastAsia="es-ES"/>
        </w:rPr>
        <w:t xml:space="preserve">del Tribunal de Justicia Administrativa del Estado de Guanajuato se le CONVOCA a la </w:t>
      </w:r>
      <w:r w:rsidRPr="008252C9">
        <w:rPr>
          <w:rFonts w:ascii="Century Gothic" w:eastAsia="Arial Unicode MS" w:hAnsi="Century Gothic" w:cs="Arial"/>
          <w:b/>
          <w:i/>
          <w:snapToGrid w:val="0"/>
          <w:sz w:val="28"/>
          <w:szCs w:val="28"/>
          <w:u w:val="single"/>
          <w:lang w:eastAsia="es-ES"/>
        </w:rPr>
        <w:t>Sesión Extraordinaria-</w:t>
      </w:r>
      <w:r>
        <w:rPr>
          <w:rFonts w:ascii="Century Gothic" w:eastAsia="Arial Unicode MS" w:hAnsi="Century Gothic" w:cs="Arial"/>
          <w:b/>
          <w:i/>
          <w:snapToGrid w:val="0"/>
          <w:sz w:val="28"/>
          <w:szCs w:val="28"/>
          <w:u w:val="single"/>
          <w:lang w:eastAsia="es-ES"/>
        </w:rPr>
        <w:t>28</w:t>
      </w:r>
      <w:r w:rsidRPr="008252C9">
        <w:rPr>
          <w:rFonts w:ascii="Century Gothic" w:eastAsia="Arial Unicode MS" w:hAnsi="Century Gothic" w:cs="Arial"/>
          <w:snapToGrid w:val="0"/>
          <w:sz w:val="28"/>
          <w:szCs w:val="28"/>
          <w:lang w:eastAsia="es-ES"/>
        </w:rPr>
        <w:t xml:space="preserve"> de Pleno a celebrarse el</w:t>
      </w:r>
      <w:r w:rsidRPr="008252C9">
        <w:rPr>
          <w:rFonts w:ascii="Century Gothic" w:eastAsia="Arial Unicode MS" w:hAnsi="Century Gothic" w:cs="Arial"/>
          <w:b/>
          <w:i/>
          <w:snapToGrid w:val="0"/>
          <w:sz w:val="28"/>
          <w:szCs w:val="28"/>
          <w:lang w:eastAsia="es-ES"/>
        </w:rPr>
        <w:t xml:space="preserve"> </w:t>
      </w:r>
      <w:r>
        <w:rPr>
          <w:rFonts w:ascii="Century Gothic" w:eastAsia="Arial Unicode MS" w:hAnsi="Century Gothic" w:cs="Arial"/>
          <w:b/>
          <w:i/>
          <w:snapToGrid w:val="0"/>
          <w:sz w:val="28"/>
          <w:szCs w:val="28"/>
          <w:u w:val="single"/>
          <w:lang w:eastAsia="es-ES"/>
        </w:rPr>
        <w:t>20 veinte de diciembre</w:t>
      </w:r>
      <w:r w:rsidRPr="008252C9">
        <w:rPr>
          <w:rFonts w:ascii="Century Gothic" w:eastAsia="Arial Unicode MS" w:hAnsi="Century Gothic" w:cs="Arial"/>
          <w:b/>
          <w:i/>
          <w:snapToGrid w:val="0"/>
          <w:sz w:val="28"/>
          <w:szCs w:val="28"/>
          <w:u w:val="single"/>
          <w:lang w:eastAsia="es-ES"/>
        </w:rPr>
        <w:t xml:space="preserve"> de 2022 dos mil veintidós</w:t>
      </w:r>
      <w:r w:rsidRPr="008252C9">
        <w:rPr>
          <w:rFonts w:ascii="Century Gothic" w:eastAsia="Arial Unicode MS" w:hAnsi="Century Gothic" w:cs="Arial"/>
          <w:i/>
          <w:snapToGrid w:val="0"/>
          <w:sz w:val="28"/>
          <w:szCs w:val="28"/>
          <w:lang w:eastAsia="es-ES"/>
        </w:rPr>
        <w:t>,</w:t>
      </w:r>
      <w:r w:rsidRPr="008252C9">
        <w:rPr>
          <w:rFonts w:ascii="Century Gothic" w:eastAsia="Arial Unicode MS" w:hAnsi="Century Gothic" w:cs="Arial"/>
          <w:snapToGrid w:val="0"/>
          <w:sz w:val="28"/>
          <w:szCs w:val="28"/>
          <w:lang w:eastAsia="es-ES"/>
        </w:rPr>
        <w:t xml:space="preserve"> a las </w:t>
      </w:r>
      <w:r w:rsidRPr="005527AA">
        <w:rPr>
          <w:rFonts w:ascii="Century Gothic" w:eastAsia="Arial Unicode MS" w:hAnsi="Century Gothic" w:cs="Arial"/>
          <w:snapToGrid w:val="0"/>
          <w:sz w:val="28"/>
          <w:szCs w:val="28"/>
          <w:lang w:eastAsia="es-ES"/>
        </w:rPr>
        <w:t>1</w:t>
      </w:r>
      <w:r>
        <w:rPr>
          <w:rFonts w:ascii="Century Gothic" w:eastAsia="Arial Unicode MS" w:hAnsi="Century Gothic" w:cs="Arial"/>
          <w:snapToGrid w:val="0"/>
          <w:sz w:val="28"/>
          <w:szCs w:val="28"/>
          <w:lang w:eastAsia="es-ES"/>
        </w:rPr>
        <w:t>4</w:t>
      </w:r>
      <w:r w:rsidRPr="005527AA">
        <w:rPr>
          <w:rFonts w:ascii="Century Gothic" w:eastAsia="Arial Unicode MS" w:hAnsi="Century Gothic" w:cs="Arial"/>
          <w:snapToGrid w:val="0"/>
          <w:sz w:val="28"/>
          <w:szCs w:val="28"/>
          <w:lang w:eastAsia="es-ES"/>
        </w:rPr>
        <w:t>:00</w:t>
      </w:r>
      <w:r w:rsidRPr="008252C9">
        <w:rPr>
          <w:rFonts w:ascii="Century Gothic" w:eastAsia="Arial Unicode MS" w:hAnsi="Century Gothic" w:cs="Arial"/>
          <w:snapToGrid w:val="0"/>
          <w:sz w:val="28"/>
          <w:szCs w:val="28"/>
          <w:lang w:eastAsia="es-ES"/>
        </w:rPr>
        <w:t xml:space="preserve"> horas, bajo el siguiente:</w:t>
      </w:r>
    </w:p>
    <w:p w14:paraId="29992EDB" w14:textId="77777777" w:rsidR="000070A0" w:rsidRPr="008252C9" w:rsidRDefault="000070A0" w:rsidP="000070A0">
      <w:pPr>
        <w:widowControl w:val="0"/>
        <w:spacing w:after="0" w:line="240" w:lineRule="auto"/>
        <w:ind w:right="-575"/>
        <w:jc w:val="both"/>
        <w:rPr>
          <w:rFonts w:ascii="Century Gothic" w:eastAsia="Arial Unicode MS" w:hAnsi="Century Gothic" w:cs="Arial"/>
          <w:snapToGrid w:val="0"/>
          <w:sz w:val="28"/>
          <w:szCs w:val="28"/>
          <w:lang w:eastAsia="es-ES"/>
        </w:rPr>
      </w:pPr>
    </w:p>
    <w:p w14:paraId="74A74BD1" w14:textId="77777777" w:rsidR="000070A0" w:rsidRPr="008252C9" w:rsidRDefault="000070A0" w:rsidP="000070A0">
      <w:pPr>
        <w:widowControl w:val="0"/>
        <w:spacing w:after="0" w:line="240" w:lineRule="auto"/>
        <w:ind w:left="708" w:right="-575" w:hanging="708"/>
        <w:jc w:val="center"/>
        <w:rPr>
          <w:rFonts w:ascii="Century Gothic" w:eastAsia="Arial Unicode MS" w:hAnsi="Century Gothic" w:cs="Arial"/>
          <w:snapToGrid w:val="0"/>
          <w:sz w:val="28"/>
          <w:szCs w:val="28"/>
          <w:lang w:eastAsia="es-ES"/>
        </w:rPr>
      </w:pPr>
    </w:p>
    <w:p w14:paraId="51147CF9" w14:textId="77777777" w:rsidR="000070A0" w:rsidRPr="008252C9" w:rsidRDefault="000070A0" w:rsidP="000070A0">
      <w:pPr>
        <w:widowControl w:val="0"/>
        <w:spacing w:after="0" w:line="240" w:lineRule="auto"/>
        <w:ind w:left="708" w:right="-575" w:hanging="708"/>
        <w:jc w:val="center"/>
        <w:rPr>
          <w:rFonts w:ascii="Century Gothic" w:eastAsia="Arial Unicode MS" w:hAnsi="Century Gothic" w:cs="Arial"/>
          <w:snapToGrid w:val="0"/>
          <w:sz w:val="28"/>
          <w:szCs w:val="28"/>
          <w:lang w:eastAsia="es-ES"/>
        </w:rPr>
      </w:pPr>
      <w:r w:rsidRPr="008252C9">
        <w:rPr>
          <w:rFonts w:ascii="Century Gothic" w:eastAsia="Arial Unicode MS" w:hAnsi="Century Gothic" w:cs="Arial"/>
          <w:b/>
          <w:noProof/>
          <w:sz w:val="28"/>
          <w:szCs w:val="28"/>
        </w:rPr>
        <w:drawing>
          <wp:inline distT="0" distB="0" distL="0" distR="0" wp14:anchorId="72F23E70" wp14:editId="52523749">
            <wp:extent cx="5540375" cy="4419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0B339A" w14:textId="77777777" w:rsidR="000070A0" w:rsidRPr="008252C9" w:rsidRDefault="000070A0" w:rsidP="000070A0">
      <w:pPr>
        <w:widowControl w:val="0"/>
        <w:spacing w:after="0" w:line="240" w:lineRule="auto"/>
        <w:ind w:left="708" w:right="-575" w:hanging="708"/>
        <w:jc w:val="center"/>
        <w:rPr>
          <w:rFonts w:ascii="Century Gothic" w:eastAsia="Arial Unicode MS" w:hAnsi="Century Gothic" w:cs="Arial"/>
          <w:snapToGrid w:val="0"/>
          <w:sz w:val="28"/>
          <w:szCs w:val="28"/>
          <w:lang w:eastAsia="es-ES"/>
        </w:rPr>
      </w:pPr>
    </w:p>
    <w:p w14:paraId="3AC757F0" w14:textId="77777777" w:rsidR="000070A0" w:rsidRPr="00A849C0" w:rsidRDefault="000070A0" w:rsidP="000070A0">
      <w:pPr>
        <w:widowControl w:val="0"/>
        <w:spacing w:after="0" w:line="240" w:lineRule="auto"/>
        <w:ind w:left="708" w:right="-575" w:hanging="708"/>
        <w:jc w:val="center"/>
        <w:rPr>
          <w:rFonts w:ascii="Century Gothic" w:eastAsia="Arial Unicode MS" w:hAnsi="Century Gothic" w:cs="Arial"/>
          <w:bCs/>
          <w:snapToGrid w:val="0"/>
          <w:sz w:val="32"/>
          <w:szCs w:val="32"/>
          <w:lang w:eastAsia="es-ES"/>
        </w:rPr>
      </w:pPr>
    </w:p>
    <w:p w14:paraId="7DDBFEC8" w14:textId="007E923A" w:rsidR="000070A0" w:rsidRPr="000070A0" w:rsidRDefault="000070A0" w:rsidP="000070A0">
      <w:pPr>
        <w:widowControl w:val="0"/>
        <w:spacing w:after="0" w:line="240" w:lineRule="auto"/>
        <w:ind w:right="-574"/>
        <w:contextualSpacing/>
        <w:jc w:val="both"/>
        <w:rPr>
          <w:rFonts w:ascii="Century Gothic" w:eastAsia="DotumChe" w:hAnsi="Century Gothic" w:cs="Arial"/>
          <w:snapToGrid w:val="0"/>
          <w:sz w:val="28"/>
          <w:szCs w:val="28"/>
          <w:lang w:eastAsia="es-ES"/>
        </w:rPr>
      </w:pPr>
      <w:r w:rsidRPr="000070A0">
        <w:rPr>
          <w:rFonts w:ascii="Century Gothic" w:eastAsia="DotumChe" w:hAnsi="Century Gothic" w:cs="Arial"/>
          <w:b/>
          <w:snapToGrid w:val="0"/>
          <w:sz w:val="28"/>
          <w:szCs w:val="28"/>
          <w:lang w:eastAsia="es-ES"/>
        </w:rPr>
        <w:t>1.</w:t>
      </w:r>
      <w:r w:rsidRPr="000070A0">
        <w:rPr>
          <w:rFonts w:ascii="Century Gothic" w:eastAsia="DotumChe" w:hAnsi="Century Gothic" w:cs="Arial"/>
          <w:snapToGrid w:val="0"/>
          <w:sz w:val="28"/>
          <w:szCs w:val="28"/>
          <w:lang w:eastAsia="es-ES"/>
        </w:rPr>
        <w:t xml:space="preserve"> Lista de asistencia, declaración de quórum legal y aprobación del orden del día. </w:t>
      </w:r>
    </w:p>
    <w:p w14:paraId="7BCA3E08" w14:textId="17B5DCF9" w:rsidR="000070A0" w:rsidRPr="007B3A83" w:rsidRDefault="000070A0" w:rsidP="000070A0">
      <w:pPr>
        <w:pStyle w:val="Prrafodelista"/>
        <w:widowControl w:val="0"/>
        <w:spacing w:after="0" w:line="240" w:lineRule="auto"/>
        <w:ind w:left="0" w:right="-574"/>
        <w:jc w:val="both"/>
        <w:rPr>
          <w:rFonts w:ascii="Century Gothic" w:eastAsia="Times New Roman" w:hAnsi="Century Gothic" w:cs="Tahoma"/>
          <w:sz w:val="28"/>
          <w:szCs w:val="28"/>
        </w:rPr>
      </w:pPr>
      <w:r w:rsidRPr="000070A0">
        <w:rPr>
          <w:rFonts w:ascii="Century Gothic" w:eastAsia="Times New Roman" w:hAnsi="Century Gothic" w:cs="Tahoma"/>
          <w:b/>
          <w:bCs/>
          <w:sz w:val="28"/>
          <w:szCs w:val="28"/>
        </w:rPr>
        <w:t>2.</w:t>
      </w:r>
      <w:r w:rsidRPr="000070A0">
        <w:rPr>
          <w:rFonts w:ascii="Century Gothic" w:eastAsia="Times New Roman" w:hAnsi="Century Gothic" w:cs="Tahoma"/>
          <w:sz w:val="28"/>
          <w:szCs w:val="28"/>
        </w:rPr>
        <w:t xml:space="preserve"> Designación de la titular de la Tercera Sala de nuestro Tribunal, con motivo del nombramiento </w:t>
      </w:r>
      <w:r w:rsidRPr="007B3A83">
        <w:rPr>
          <w:rFonts w:ascii="Century Gothic" w:eastAsia="Times New Roman" w:hAnsi="Century Gothic" w:cs="Tahoma"/>
          <w:sz w:val="28"/>
          <w:szCs w:val="28"/>
        </w:rPr>
        <w:t xml:space="preserve">realizado por la Sexagésima </w:t>
      </w:r>
      <w:r w:rsidR="007B3A83" w:rsidRPr="007B3A83">
        <w:rPr>
          <w:rFonts w:ascii="Century Gothic" w:eastAsia="Times New Roman" w:hAnsi="Century Gothic" w:cs="Tahoma"/>
          <w:sz w:val="28"/>
          <w:szCs w:val="28"/>
        </w:rPr>
        <w:t>Quinta</w:t>
      </w:r>
      <w:r w:rsidRPr="007B3A83">
        <w:rPr>
          <w:rFonts w:ascii="Century Gothic" w:eastAsia="Times New Roman" w:hAnsi="Century Gothic" w:cs="Tahoma"/>
          <w:sz w:val="28"/>
          <w:szCs w:val="28"/>
        </w:rPr>
        <w:t xml:space="preserve"> Legislatura del Congreso del Estado de Guanajuato. </w:t>
      </w:r>
    </w:p>
    <w:p w14:paraId="18BAB105" w14:textId="0156D564" w:rsidR="000070A0" w:rsidRPr="000070A0" w:rsidRDefault="000070A0" w:rsidP="000070A0">
      <w:pPr>
        <w:pStyle w:val="Prrafodelista"/>
        <w:widowControl w:val="0"/>
        <w:spacing w:after="0" w:line="240" w:lineRule="auto"/>
        <w:ind w:left="0" w:right="-574"/>
        <w:jc w:val="both"/>
        <w:rPr>
          <w:rFonts w:ascii="Century Gothic" w:eastAsia="Times New Roman" w:hAnsi="Century Gothic" w:cs="Tahoma"/>
          <w:sz w:val="28"/>
          <w:szCs w:val="28"/>
        </w:rPr>
      </w:pPr>
      <w:r w:rsidRPr="007B3A83">
        <w:rPr>
          <w:rFonts w:ascii="Century Gothic" w:eastAsia="Times New Roman" w:hAnsi="Century Gothic" w:cs="Tahoma"/>
          <w:b/>
          <w:bCs/>
          <w:sz w:val="28"/>
          <w:szCs w:val="28"/>
        </w:rPr>
        <w:t xml:space="preserve">3. </w:t>
      </w:r>
      <w:r w:rsidRPr="007B3A83">
        <w:rPr>
          <w:rFonts w:ascii="Century Gothic" w:eastAsia="Times New Roman" w:hAnsi="Century Gothic" w:cs="Tahoma"/>
          <w:sz w:val="28"/>
          <w:szCs w:val="28"/>
        </w:rPr>
        <w:t>Llamamiento de Magistrada Supernumeraria</w:t>
      </w:r>
      <w:r w:rsidRPr="000070A0">
        <w:rPr>
          <w:rFonts w:ascii="Century Gothic" w:eastAsia="Times New Roman" w:hAnsi="Century Gothic" w:cs="Tahoma"/>
          <w:sz w:val="28"/>
          <w:szCs w:val="28"/>
        </w:rPr>
        <w:t xml:space="preserve"> para el despacho de los asuntos correspondientes a la Cuarta Sala de este Tribunal.  </w:t>
      </w:r>
    </w:p>
    <w:p w14:paraId="3AE3A0CF" w14:textId="0B099AC6" w:rsidR="000070A0" w:rsidRPr="000070A0" w:rsidRDefault="000070A0" w:rsidP="000070A0">
      <w:pPr>
        <w:widowControl w:val="0"/>
        <w:spacing w:after="0" w:line="240" w:lineRule="auto"/>
        <w:ind w:right="-801"/>
        <w:jc w:val="both"/>
        <w:rPr>
          <w:rFonts w:ascii="Century Gothic" w:eastAsia="Arial Unicode MS" w:hAnsi="Century Gothic" w:cs="Arial"/>
          <w:bCs/>
          <w:snapToGrid w:val="0"/>
          <w:sz w:val="28"/>
          <w:szCs w:val="28"/>
          <w:lang w:eastAsia="es-ES"/>
        </w:rPr>
      </w:pPr>
      <w:r w:rsidRPr="000070A0">
        <w:rPr>
          <w:rFonts w:ascii="Century Gothic" w:eastAsia="Times New Roman" w:hAnsi="Century Gothic" w:cs="Tahoma"/>
          <w:b/>
          <w:bCs/>
          <w:sz w:val="28"/>
          <w:szCs w:val="28"/>
        </w:rPr>
        <w:t>4.</w:t>
      </w:r>
      <w:r w:rsidRPr="000070A0">
        <w:rPr>
          <w:rFonts w:ascii="Century Gothic" w:eastAsia="Times New Roman" w:hAnsi="Century Gothic" w:cs="Tahoma"/>
          <w:sz w:val="28"/>
          <w:szCs w:val="28"/>
        </w:rPr>
        <w:t xml:space="preserve"> Clausura de la Sesión. </w:t>
      </w:r>
    </w:p>
    <w:p w14:paraId="499CEFFA" w14:textId="77777777" w:rsidR="000070A0" w:rsidRPr="00B66DCF" w:rsidRDefault="000070A0" w:rsidP="000070A0">
      <w:pPr>
        <w:widowControl w:val="0"/>
        <w:spacing w:after="0" w:line="240" w:lineRule="auto"/>
        <w:ind w:right="-801"/>
        <w:jc w:val="both"/>
        <w:rPr>
          <w:rFonts w:ascii="Century Gothic" w:eastAsia="Arial Unicode MS" w:hAnsi="Century Gothic" w:cs="Arial"/>
          <w:sz w:val="28"/>
          <w:szCs w:val="28"/>
        </w:rPr>
      </w:pPr>
    </w:p>
    <w:p w14:paraId="24AF2E4D" w14:textId="77777777" w:rsidR="000070A0" w:rsidRPr="008252C9" w:rsidRDefault="000070A0" w:rsidP="000070A0">
      <w:pPr>
        <w:spacing w:after="0" w:line="240" w:lineRule="auto"/>
        <w:ind w:right="-461"/>
        <w:jc w:val="center"/>
        <w:rPr>
          <w:rFonts w:ascii="Century Gothic" w:eastAsia="Arial Unicode MS" w:hAnsi="Century Gothic" w:cs="Arial"/>
          <w:spacing w:val="4"/>
          <w:position w:val="2"/>
          <w:sz w:val="28"/>
          <w:szCs w:val="28"/>
        </w:rPr>
      </w:pPr>
      <w:r w:rsidRPr="008252C9">
        <w:rPr>
          <w:rFonts w:ascii="Century Gothic" w:eastAsia="Arial Unicode MS" w:hAnsi="Century Gothic" w:cs="Arial"/>
          <w:spacing w:val="4"/>
          <w:position w:val="2"/>
          <w:sz w:val="28"/>
          <w:szCs w:val="28"/>
        </w:rPr>
        <w:t>A t e n t a m e n t e</w:t>
      </w:r>
    </w:p>
    <w:p w14:paraId="6F9009B3" w14:textId="77777777" w:rsidR="000070A0" w:rsidRPr="008252C9" w:rsidRDefault="000070A0" w:rsidP="000070A0">
      <w:pPr>
        <w:spacing w:after="0" w:line="240" w:lineRule="auto"/>
        <w:ind w:right="-461"/>
        <w:jc w:val="center"/>
        <w:rPr>
          <w:rFonts w:ascii="Century Gothic" w:eastAsia="Arial Unicode MS" w:hAnsi="Century Gothic" w:cs="Arial"/>
          <w:b/>
          <w:spacing w:val="4"/>
          <w:position w:val="2"/>
          <w:sz w:val="28"/>
          <w:szCs w:val="28"/>
        </w:rPr>
      </w:pPr>
      <w:r w:rsidRPr="008252C9">
        <w:rPr>
          <w:rFonts w:ascii="Century Gothic" w:eastAsia="Arial Unicode MS" w:hAnsi="Century Gothic" w:cs="Arial"/>
          <w:b/>
          <w:spacing w:val="4"/>
          <w:position w:val="2"/>
          <w:sz w:val="28"/>
          <w:szCs w:val="28"/>
        </w:rPr>
        <w:t xml:space="preserve">El </w:t>
      </w:r>
      <w:proofErr w:type="gramStart"/>
      <w:r w:rsidRPr="008252C9">
        <w:rPr>
          <w:rFonts w:ascii="Century Gothic" w:eastAsia="Arial Unicode MS" w:hAnsi="Century Gothic" w:cs="Arial"/>
          <w:b/>
          <w:spacing w:val="4"/>
          <w:position w:val="2"/>
          <w:sz w:val="28"/>
          <w:szCs w:val="28"/>
        </w:rPr>
        <w:t>Presidente</w:t>
      </w:r>
      <w:proofErr w:type="gramEnd"/>
      <w:r w:rsidRPr="008252C9">
        <w:rPr>
          <w:rFonts w:ascii="Century Gothic" w:eastAsia="Arial Unicode MS" w:hAnsi="Century Gothic" w:cs="Arial"/>
          <w:b/>
          <w:spacing w:val="4"/>
          <w:position w:val="2"/>
          <w:sz w:val="28"/>
          <w:szCs w:val="28"/>
        </w:rPr>
        <w:t xml:space="preserve"> del Tribunal de Justicia</w:t>
      </w:r>
    </w:p>
    <w:p w14:paraId="03D10E0B" w14:textId="77777777" w:rsidR="000070A0" w:rsidRPr="008252C9" w:rsidRDefault="000070A0" w:rsidP="000070A0">
      <w:pPr>
        <w:spacing w:after="0" w:line="240" w:lineRule="auto"/>
        <w:ind w:right="-461"/>
        <w:jc w:val="center"/>
        <w:rPr>
          <w:rFonts w:ascii="Century Gothic" w:eastAsia="Arial Unicode MS" w:hAnsi="Century Gothic" w:cs="Arial"/>
          <w:b/>
          <w:spacing w:val="4"/>
          <w:position w:val="2"/>
          <w:sz w:val="28"/>
          <w:szCs w:val="28"/>
        </w:rPr>
      </w:pPr>
      <w:r w:rsidRPr="008252C9">
        <w:rPr>
          <w:rFonts w:ascii="Century Gothic" w:eastAsia="Arial Unicode MS" w:hAnsi="Century Gothic" w:cs="Arial"/>
          <w:b/>
          <w:spacing w:val="4"/>
          <w:position w:val="2"/>
          <w:sz w:val="28"/>
          <w:szCs w:val="28"/>
        </w:rPr>
        <w:t>Administrativa del Estado de Guanajuato</w:t>
      </w:r>
    </w:p>
    <w:p w14:paraId="061472C6" w14:textId="77777777" w:rsidR="000070A0" w:rsidRPr="008252C9" w:rsidRDefault="000070A0" w:rsidP="000070A0">
      <w:pPr>
        <w:spacing w:after="0" w:line="240" w:lineRule="auto"/>
        <w:ind w:right="-461"/>
        <w:jc w:val="center"/>
        <w:rPr>
          <w:rFonts w:ascii="Century Gothic" w:eastAsia="Arial Unicode MS" w:hAnsi="Century Gothic" w:cs="Arial"/>
          <w:b/>
          <w:i/>
          <w:spacing w:val="4"/>
          <w:position w:val="2"/>
          <w:sz w:val="28"/>
          <w:szCs w:val="28"/>
        </w:rPr>
      </w:pPr>
    </w:p>
    <w:p w14:paraId="5983C0F0" w14:textId="77777777" w:rsidR="000070A0" w:rsidRDefault="000070A0" w:rsidP="000070A0">
      <w:pPr>
        <w:spacing w:after="0" w:line="240" w:lineRule="auto"/>
        <w:ind w:right="-461"/>
        <w:jc w:val="center"/>
        <w:rPr>
          <w:rFonts w:ascii="Century Gothic" w:eastAsia="Arial Unicode MS" w:hAnsi="Century Gothic" w:cs="Arial"/>
          <w:b/>
          <w:i/>
          <w:spacing w:val="4"/>
          <w:position w:val="2"/>
          <w:sz w:val="28"/>
          <w:szCs w:val="28"/>
        </w:rPr>
      </w:pPr>
    </w:p>
    <w:p w14:paraId="2E8D9B11" w14:textId="77777777" w:rsidR="000070A0" w:rsidRDefault="000070A0" w:rsidP="000070A0">
      <w:pPr>
        <w:spacing w:after="0" w:line="240" w:lineRule="auto"/>
        <w:ind w:right="-461"/>
        <w:jc w:val="center"/>
        <w:rPr>
          <w:rFonts w:ascii="Century Gothic" w:eastAsia="Arial Unicode MS" w:hAnsi="Century Gothic" w:cs="Arial"/>
          <w:b/>
          <w:i/>
          <w:spacing w:val="4"/>
          <w:position w:val="2"/>
          <w:sz w:val="28"/>
          <w:szCs w:val="28"/>
        </w:rPr>
      </w:pPr>
    </w:p>
    <w:p w14:paraId="0982B9E4" w14:textId="77777777" w:rsidR="000070A0" w:rsidRPr="008252C9" w:rsidRDefault="000070A0" w:rsidP="000070A0">
      <w:pPr>
        <w:spacing w:after="0" w:line="240" w:lineRule="auto"/>
        <w:ind w:right="-461"/>
        <w:jc w:val="center"/>
        <w:rPr>
          <w:rFonts w:ascii="Century Gothic" w:eastAsia="Arial Unicode MS" w:hAnsi="Century Gothic" w:cs="Arial"/>
          <w:b/>
          <w:i/>
          <w:spacing w:val="4"/>
          <w:position w:val="2"/>
          <w:sz w:val="28"/>
          <w:szCs w:val="28"/>
        </w:rPr>
      </w:pPr>
    </w:p>
    <w:p w14:paraId="772203B7" w14:textId="77777777" w:rsidR="000070A0" w:rsidRPr="008252C9" w:rsidRDefault="000070A0" w:rsidP="000070A0">
      <w:pPr>
        <w:spacing w:after="0" w:line="240" w:lineRule="auto"/>
        <w:ind w:right="-461"/>
        <w:jc w:val="center"/>
        <w:rPr>
          <w:rFonts w:ascii="Century Gothic" w:eastAsia="Arial Unicode MS" w:hAnsi="Century Gothic" w:cs="Arial"/>
          <w:b/>
          <w:i/>
          <w:spacing w:val="4"/>
          <w:position w:val="2"/>
          <w:sz w:val="28"/>
          <w:szCs w:val="28"/>
        </w:rPr>
      </w:pPr>
      <w:proofErr w:type="spellStart"/>
      <w:r w:rsidRPr="008252C9">
        <w:rPr>
          <w:rFonts w:ascii="Century Gothic" w:eastAsia="Arial Unicode MS" w:hAnsi="Century Gothic" w:cs="Arial"/>
          <w:b/>
          <w:i/>
          <w:spacing w:val="4"/>
          <w:position w:val="2"/>
          <w:sz w:val="28"/>
          <w:szCs w:val="28"/>
        </w:rPr>
        <w:t>Eliverio</w:t>
      </w:r>
      <w:proofErr w:type="spellEnd"/>
      <w:r w:rsidRPr="008252C9">
        <w:rPr>
          <w:rFonts w:ascii="Century Gothic" w:eastAsia="Arial Unicode MS" w:hAnsi="Century Gothic" w:cs="Arial"/>
          <w:b/>
          <w:i/>
          <w:spacing w:val="4"/>
          <w:position w:val="2"/>
          <w:sz w:val="28"/>
          <w:szCs w:val="28"/>
        </w:rPr>
        <w:t xml:space="preserve"> García Monzón,</w:t>
      </w:r>
    </w:p>
    <w:p w14:paraId="6EF583E8" w14:textId="77777777" w:rsidR="000070A0" w:rsidRPr="008252C9" w:rsidRDefault="000070A0" w:rsidP="000070A0">
      <w:pPr>
        <w:spacing w:after="0" w:line="240" w:lineRule="auto"/>
        <w:ind w:right="-461"/>
        <w:jc w:val="center"/>
        <w:rPr>
          <w:rFonts w:ascii="Century Gothic" w:eastAsia="Arial Unicode MS" w:hAnsi="Century Gothic" w:cs="Arial"/>
          <w:spacing w:val="4"/>
          <w:position w:val="2"/>
          <w:sz w:val="28"/>
          <w:szCs w:val="28"/>
        </w:rPr>
      </w:pPr>
      <w:r w:rsidRPr="008252C9">
        <w:rPr>
          <w:rFonts w:ascii="Century Gothic" w:eastAsia="Arial Unicode MS" w:hAnsi="Century Gothic" w:cs="Arial"/>
          <w:spacing w:val="4"/>
          <w:position w:val="2"/>
          <w:sz w:val="28"/>
          <w:szCs w:val="28"/>
        </w:rPr>
        <w:t xml:space="preserve">Silao de la Victoria, Guanajuato, </w:t>
      </w:r>
    </w:p>
    <w:p w14:paraId="5BD24202" w14:textId="1EA7F04D" w:rsidR="000070A0" w:rsidRPr="008252C9" w:rsidRDefault="000070A0" w:rsidP="000070A0">
      <w:pPr>
        <w:spacing w:after="0" w:line="240" w:lineRule="auto"/>
        <w:ind w:right="-461"/>
        <w:jc w:val="center"/>
        <w:rPr>
          <w:rFonts w:ascii="Century Gothic" w:eastAsia="Arial Unicode MS" w:hAnsi="Century Gothic" w:cs="Arial"/>
          <w:spacing w:val="4"/>
          <w:position w:val="2"/>
          <w:sz w:val="28"/>
          <w:szCs w:val="28"/>
        </w:rPr>
      </w:pPr>
      <w:r w:rsidRPr="001D55E9">
        <w:rPr>
          <w:rFonts w:ascii="Century Gothic" w:eastAsia="Arial Unicode MS" w:hAnsi="Century Gothic" w:cs="Arial"/>
          <w:spacing w:val="4"/>
          <w:position w:val="2"/>
          <w:sz w:val="28"/>
          <w:szCs w:val="28"/>
        </w:rPr>
        <w:t>1</w:t>
      </w:r>
      <w:r>
        <w:rPr>
          <w:rFonts w:ascii="Century Gothic" w:eastAsia="Arial Unicode MS" w:hAnsi="Century Gothic" w:cs="Arial"/>
          <w:spacing w:val="4"/>
          <w:position w:val="2"/>
          <w:sz w:val="28"/>
          <w:szCs w:val="28"/>
        </w:rPr>
        <w:t>9</w:t>
      </w:r>
      <w:r w:rsidRPr="001D55E9">
        <w:rPr>
          <w:rFonts w:ascii="Century Gothic" w:eastAsia="Arial Unicode MS" w:hAnsi="Century Gothic" w:cs="Arial"/>
          <w:spacing w:val="4"/>
          <w:position w:val="2"/>
          <w:sz w:val="28"/>
          <w:szCs w:val="28"/>
        </w:rPr>
        <w:t xml:space="preserve"> dieci</w:t>
      </w:r>
      <w:r>
        <w:rPr>
          <w:rFonts w:ascii="Century Gothic" w:eastAsia="Arial Unicode MS" w:hAnsi="Century Gothic" w:cs="Arial"/>
          <w:spacing w:val="4"/>
          <w:position w:val="2"/>
          <w:sz w:val="28"/>
          <w:szCs w:val="28"/>
        </w:rPr>
        <w:t>nueve</w:t>
      </w:r>
      <w:r w:rsidRPr="001D55E9">
        <w:rPr>
          <w:rFonts w:ascii="Century Gothic" w:eastAsia="Arial Unicode MS" w:hAnsi="Century Gothic" w:cs="Arial"/>
          <w:spacing w:val="4"/>
          <w:position w:val="2"/>
          <w:sz w:val="28"/>
          <w:szCs w:val="28"/>
        </w:rPr>
        <w:t xml:space="preserve"> de </w:t>
      </w:r>
      <w:r>
        <w:rPr>
          <w:rFonts w:ascii="Century Gothic" w:eastAsia="Arial Unicode MS" w:hAnsi="Century Gothic" w:cs="Arial"/>
          <w:spacing w:val="4"/>
          <w:position w:val="2"/>
          <w:sz w:val="28"/>
          <w:szCs w:val="28"/>
        </w:rPr>
        <w:t>diciembre</w:t>
      </w:r>
      <w:r w:rsidRPr="001D55E9">
        <w:rPr>
          <w:rFonts w:ascii="Century Gothic" w:eastAsia="Arial Unicode MS" w:hAnsi="Century Gothic" w:cs="Arial"/>
          <w:spacing w:val="4"/>
          <w:position w:val="2"/>
          <w:sz w:val="28"/>
          <w:szCs w:val="28"/>
        </w:rPr>
        <w:t xml:space="preserve"> </w:t>
      </w:r>
      <w:r>
        <w:rPr>
          <w:rFonts w:ascii="Century Gothic" w:eastAsia="Arial Unicode MS" w:hAnsi="Century Gothic" w:cs="Arial"/>
          <w:spacing w:val="4"/>
          <w:position w:val="2"/>
          <w:sz w:val="28"/>
          <w:szCs w:val="28"/>
        </w:rPr>
        <w:t>de</w:t>
      </w:r>
      <w:r w:rsidRPr="008252C9">
        <w:rPr>
          <w:rFonts w:ascii="Century Gothic" w:eastAsia="Arial Unicode MS" w:hAnsi="Century Gothic" w:cs="Arial"/>
          <w:spacing w:val="4"/>
          <w:position w:val="2"/>
          <w:sz w:val="28"/>
          <w:szCs w:val="28"/>
        </w:rPr>
        <w:t xml:space="preserve"> 2022 dos mil veintidós.</w:t>
      </w:r>
    </w:p>
    <w:p w14:paraId="2C3B21C4" w14:textId="77777777" w:rsidR="000070A0" w:rsidRPr="008252C9" w:rsidRDefault="000070A0" w:rsidP="000070A0">
      <w:pPr>
        <w:spacing w:after="0" w:line="240" w:lineRule="auto"/>
        <w:ind w:right="-461"/>
        <w:jc w:val="center"/>
        <w:rPr>
          <w:rFonts w:ascii="Century Gothic" w:eastAsia="Arial Unicode MS" w:hAnsi="Century Gothic" w:cs="Arial"/>
          <w:sz w:val="28"/>
          <w:szCs w:val="28"/>
        </w:rPr>
      </w:pPr>
    </w:p>
    <w:p w14:paraId="738B2A47" w14:textId="77777777" w:rsidR="000070A0" w:rsidRPr="008252C9" w:rsidRDefault="000070A0" w:rsidP="000070A0">
      <w:pPr>
        <w:rPr>
          <w:rFonts w:ascii="Century Gothic" w:hAnsi="Century Gothic"/>
        </w:rPr>
      </w:pPr>
    </w:p>
    <w:p w14:paraId="3CE1C9F9" w14:textId="77777777" w:rsidR="000070A0" w:rsidRPr="008252C9" w:rsidRDefault="000070A0" w:rsidP="000070A0">
      <w:pPr>
        <w:rPr>
          <w:rFonts w:ascii="Century Gothic" w:hAnsi="Century Gothic"/>
        </w:rPr>
      </w:pPr>
    </w:p>
    <w:p w14:paraId="3D0E29C0" w14:textId="77777777" w:rsidR="000070A0" w:rsidRPr="008252C9" w:rsidRDefault="000070A0" w:rsidP="000070A0">
      <w:pPr>
        <w:rPr>
          <w:rFonts w:ascii="Century Gothic" w:hAnsi="Century Gothic"/>
        </w:rPr>
      </w:pPr>
    </w:p>
    <w:p w14:paraId="636491D9" w14:textId="77777777" w:rsidR="000070A0" w:rsidRDefault="000070A0" w:rsidP="000070A0"/>
    <w:p w14:paraId="75C76DDF" w14:textId="77777777" w:rsidR="00A719AC" w:rsidRDefault="00A719AC"/>
    <w:sectPr w:rsidR="00A719AC" w:rsidSect="00EA25D7">
      <w:pgSz w:w="12240" w:h="20160" w:code="5"/>
      <w:pgMar w:top="1418" w:right="1701" w:bottom="1077" w:left="1701" w:header="709" w:footer="709" w:gutter="5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A0"/>
    <w:rsid w:val="000070A0"/>
    <w:rsid w:val="005E1650"/>
    <w:rsid w:val="007B3A83"/>
    <w:rsid w:val="00A7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2AA8"/>
  <w15:chartTrackingRefBased/>
  <w15:docId w15:val="{CAC7D1CF-E395-4D99-A3FA-A6D0D329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0A0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Garcia Serna</dc:creator>
  <cp:keywords/>
  <dc:description/>
  <cp:lastModifiedBy>Rocío Garcia Serna</cp:lastModifiedBy>
  <cp:revision>2</cp:revision>
  <dcterms:created xsi:type="dcterms:W3CDTF">2022-12-21T19:47:00Z</dcterms:created>
  <dcterms:modified xsi:type="dcterms:W3CDTF">2023-01-02T16:29:00Z</dcterms:modified>
</cp:coreProperties>
</file>